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3AB2" w:rsidRDefault="00DD3AB2" w:rsidP="00DD3AB2">
      <w:pPr>
        <w:rPr>
          <w:rtl/>
        </w:rPr>
      </w:pPr>
      <w:bookmarkStart w:id="0" w:name="_GoBack"/>
      <w:bookmarkEnd w:id="0"/>
    </w:p>
    <w:tbl>
      <w:tblPr>
        <w:tblStyle w:val="a9"/>
        <w:bidiVisual/>
        <w:tblW w:w="8820" w:type="dxa"/>
        <w:tblLook w:val="01E0" w:firstRow="1" w:lastRow="1" w:firstColumn="1" w:lastColumn="1" w:noHBand="0" w:noVBand="0"/>
      </w:tblPr>
      <w:tblGrid>
        <w:gridCol w:w="743"/>
        <w:gridCol w:w="2506"/>
        <w:gridCol w:w="5571"/>
      </w:tblGrid>
      <w:tr w:rsidR="00DD3AB2" w:rsidTr="00B67A02">
        <w:tc>
          <w:tcPr>
            <w:tcW w:w="743" w:type="dxa"/>
          </w:tcPr>
          <w:p w:rsidR="00DD3AB2" w:rsidRDefault="00DD3AB2" w:rsidP="00B67A0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DD3AB2" w:rsidRDefault="00DD3AB2" w:rsidP="00B67A02">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פליקס גורודצקי</w:t>
                </w:r>
              </w:sdtContent>
            </w:sdt>
          </w:p>
          <w:p w:rsidR="00DD3AB2" w:rsidRDefault="00DD3AB2" w:rsidP="00B67A02">
            <w:pPr>
              <w:rPr>
                <w:rFonts w:ascii="Arial" w:hAnsi="Arial" w:cs="FrankRuehl"/>
                <w:sz w:val="28"/>
                <w:szCs w:val="28"/>
                <w:highlight w:val="yellow"/>
              </w:rPr>
            </w:pPr>
          </w:p>
        </w:tc>
      </w:tr>
      <w:tr w:rsidR="00DD3AB2" w:rsidTr="00B67A02">
        <w:tc>
          <w:tcPr>
            <w:tcW w:w="3249" w:type="dxa"/>
            <w:gridSpan w:val="2"/>
          </w:tcPr>
          <w:p w:rsidR="00DD3AB2" w:rsidRDefault="00DD3AB2" w:rsidP="00B67A02">
            <w:pPr>
              <w:bidi w:val="0"/>
              <w:jc w:val="right"/>
              <w:rPr>
                <w:rFonts w:ascii="Arial" w:hAnsi="Arial"/>
                <w:b/>
                <w:bCs/>
                <w:noProof w:val="0"/>
                <w:sz w:val="26"/>
                <w:szCs w:val="26"/>
              </w:rPr>
            </w:pPr>
          </w:p>
          <w:sdt>
            <w:sdtPr>
              <w:alias w:val="1180"/>
              <w:tag w:val="1180"/>
              <w:id w:val="2064520869"/>
              <w:text w:multiLine="1"/>
            </w:sdtPr>
            <w:sdtEndPr/>
            <w:sdtContent>
              <w:p w:rsidR="00DD3AB2" w:rsidRDefault="00DD3AB2" w:rsidP="00B67A02">
                <w:pPr>
                  <w:bidi w:val="0"/>
                  <w:jc w:val="right"/>
                  <w:rPr>
                    <w:rFonts w:ascii="Arial" w:hAnsi="Arial"/>
                    <w:b/>
                    <w:bCs/>
                    <w:noProof w:val="0"/>
                    <w:sz w:val="26"/>
                    <w:szCs w:val="26"/>
                    <w:rtl/>
                  </w:rPr>
                </w:pPr>
                <w:r>
                  <w:rPr>
                    <w:rFonts w:ascii="Arial" w:hAnsi="Arial"/>
                    <w:b/>
                    <w:bCs/>
                    <w:noProof w:val="0"/>
                    <w:sz w:val="26"/>
                    <w:szCs w:val="26"/>
                    <w:rtl/>
                  </w:rPr>
                  <w:t>מערער</w:t>
                </w:r>
              </w:p>
            </w:sdtContent>
          </w:sdt>
        </w:tc>
        <w:tc>
          <w:tcPr>
            <w:tcW w:w="5571" w:type="dxa"/>
          </w:tcPr>
          <w:p w:rsidR="00DD3AB2" w:rsidRDefault="00DD3AB2" w:rsidP="00B67A02">
            <w:pPr>
              <w:rPr>
                <w:rFonts w:ascii="Arial" w:hAnsi="Arial"/>
                <w:b/>
                <w:bCs/>
                <w:noProof w:val="0"/>
                <w:sz w:val="26"/>
                <w:szCs w:val="26"/>
              </w:rPr>
            </w:pPr>
          </w:p>
          <w:p w:rsidR="00DD3AB2" w:rsidRDefault="00DD3AB2" w:rsidP="00B67A02">
            <w:pPr>
              <w:rPr>
                <w:b/>
                <w:bCs/>
                <w:noProof w:val="0"/>
                <w:sz w:val="26"/>
                <w:szCs w:val="26"/>
              </w:rPr>
            </w:pPr>
            <w:r>
              <w:rPr>
                <w:rFonts w:ascii="Arial" w:hAnsi="Arial" w:hint="cs"/>
                <w:b/>
                <w:bCs/>
                <w:noProof w:val="0"/>
                <w:sz w:val="26"/>
                <w:szCs w:val="26"/>
                <w:rtl/>
              </w:rPr>
              <w:t>ד.</w:t>
            </w:r>
          </w:p>
        </w:tc>
      </w:tr>
      <w:tr w:rsidR="00DD3AB2" w:rsidTr="00B67A02">
        <w:tc>
          <w:tcPr>
            <w:tcW w:w="8820" w:type="dxa"/>
            <w:gridSpan w:val="3"/>
          </w:tcPr>
          <w:p w:rsidR="00DD3AB2" w:rsidRDefault="00DD3AB2" w:rsidP="00B67A02">
            <w:pPr>
              <w:rPr>
                <w:rFonts w:ascii="Arial" w:hAnsi="Arial"/>
                <w:b/>
                <w:bCs/>
                <w:noProof w:val="0"/>
                <w:sz w:val="26"/>
                <w:szCs w:val="26"/>
                <w:rtl/>
              </w:rPr>
            </w:pPr>
          </w:p>
          <w:p w:rsidR="00DD3AB2" w:rsidRDefault="00DD3AB2" w:rsidP="00B67A02">
            <w:pPr>
              <w:jc w:val="center"/>
              <w:rPr>
                <w:rFonts w:ascii="Arial" w:hAnsi="Arial"/>
                <w:b/>
                <w:bCs/>
                <w:noProof w:val="0"/>
                <w:sz w:val="26"/>
                <w:szCs w:val="26"/>
                <w:rtl/>
              </w:rPr>
            </w:pPr>
            <w:r>
              <w:rPr>
                <w:rFonts w:ascii="Arial" w:hAnsi="Arial"/>
                <w:b/>
                <w:bCs/>
                <w:noProof w:val="0"/>
                <w:sz w:val="26"/>
                <w:szCs w:val="26"/>
                <w:rtl/>
              </w:rPr>
              <w:t>נגד</w:t>
            </w:r>
          </w:p>
          <w:p w:rsidR="00DD3AB2" w:rsidRDefault="00DD3AB2" w:rsidP="00B67A02">
            <w:pPr>
              <w:rPr>
                <w:rFonts w:ascii="Arial" w:hAnsi="Arial"/>
                <w:b/>
                <w:bCs/>
                <w:noProof w:val="0"/>
                <w:sz w:val="26"/>
                <w:szCs w:val="26"/>
              </w:rPr>
            </w:pPr>
          </w:p>
        </w:tc>
      </w:tr>
      <w:tr w:rsidR="00DD3AB2" w:rsidTr="00B67A02">
        <w:tc>
          <w:tcPr>
            <w:tcW w:w="3249" w:type="dxa"/>
            <w:gridSpan w:val="2"/>
          </w:tcPr>
          <w:p w:rsidR="00DD3AB2" w:rsidRDefault="00DD3AB2" w:rsidP="00B67A02">
            <w:pPr>
              <w:rPr>
                <w:rFonts w:ascii="Arial" w:hAnsi="Arial"/>
                <w:b/>
                <w:bCs/>
                <w:noProof w:val="0"/>
                <w:sz w:val="26"/>
                <w:szCs w:val="26"/>
                <w:rtl/>
              </w:rPr>
            </w:pPr>
          </w:p>
          <w:p w:rsidR="00DD3AB2" w:rsidRDefault="007D554E" w:rsidP="00B67A02">
            <w:pPr>
              <w:rPr>
                <w:rFonts w:ascii="Arial" w:hAnsi="Arial"/>
                <w:b/>
                <w:bCs/>
                <w:noProof w:val="0"/>
                <w:sz w:val="26"/>
                <w:szCs w:val="26"/>
              </w:rPr>
            </w:pPr>
            <w:sdt>
              <w:sdtPr>
                <w:rPr>
                  <w:rtl/>
                </w:rPr>
                <w:alias w:val="1184"/>
                <w:tag w:val="1184"/>
                <w:id w:val="385841288"/>
                <w:text w:multiLine="1"/>
              </w:sdtPr>
              <w:sdtEndPr/>
              <w:sdtContent>
                <w:r w:rsidR="00DD3AB2">
                  <w:rPr>
                    <w:rFonts w:ascii="Arial" w:hAnsi="Arial"/>
                    <w:b/>
                    <w:bCs/>
                    <w:noProof w:val="0"/>
                    <w:sz w:val="26"/>
                    <w:szCs w:val="26"/>
                    <w:rtl/>
                  </w:rPr>
                  <w:t>משיב</w:t>
                </w:r>
                <w:r w:rsidR="00DD3AB2">
                  <w:rPr>
                    <w:rFonts w:ascii="Arial" w:hAnsi="Arial" w:hint="cs"/>
                    <w:b/>
                    <w:bCs/>
                    <w:noProof w:val="0"/>
                    <w:sz w:val="26"/>
                    <w:szCs w:val="26"/>
                    <w:rtl/>
                  </w:rPr>
                  <w:t>ה</w:t>
                </w:r>
              </w:sdtContent>
            </w:sdt>
          </w:p>
        </w:tc>
        <w:tc>
          <w:tcPr>
            <w:tcW w:w="5571" w:type="dxa"/>
          </w:tcPr>
          <w:p w:rsidR="00DD3AB2" w:rsidRDefault="00DD3AB2" w:rsidP="00B67A02">
            <w:pPr>
              <w:rPr>
                <w:rFonts w:ascii="Arial" w:hAnsi="Arial"/>
                <w:b/>
                <w:bCs/>
                <w:noProof w:val="0"/>
                <w:sz w:val="26"/>
                <w:szCs w:val="26"/>
                <w:rtl/>
              </w:rPr>
            </w:pPr>
          </w:p>
          <w:p w:rsidR="00DD3AB2" w:rsidRDefault="00DD3AB2" w:rsidP="00B67A02">
            <w:pPr>
              <w:rPr>
                <w:b/>
                <w:bCs/>
                <w:noProof w:val="0"/>
                <w:sz w:val="26"/>
                <w:szCs w:val="26"/>
                <w:rtl/>
              </w:rPr>
            </w:pPr>
            <w:r>
              <w:rPr>
                <w:rFonts w:ascii="Arial" w:hAnsi="Arial" w:hint="cs"/>
                <w:b/>
                <w:bCs/>
                <w:noProof w:val="0"/>
                <w:sz w:val="26"/>
                <w:szCs w:val="26"/>
                <w:rtl/>
              </w:rPr>
              <w:t>ד.</w:t>
            </w:r>
          </w:p>
        </w:tc>
      </w:tr>
      <w:tr w:rsidR="00DD3AB2" w:rsidTr="00B67A02">
        <w:tc>
          <w:tcPr>
            <w:tcW w:w="8820" w:type="dxa"/>
            <w:gridSpan w:val="3"/>
          </w:tcPr>
          <w:p w:rsidR="00DD3AB2" w:rsidRDefault="00DD3AB2" w:rsidP="00B67A02">
            <w:pPr>
              <w:rPr>
                <w:rFonts w:ascii="Arial" w:hAnsi="Arial"/>
                <w:b/>
                <w:bCs/>
                <w:noProof w:val="0"/>
                <w:sz w:val="26"/>
                <w:szCs w:val="26"/>
                <w:rtl/>
              </w:rPr>
            </w:pPr>
          </w:p>
        </w:tc>
      </w:tr>
    </w:tbl>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DD3AB2" w:rsidRPr="00887C0F" w:rsidTr="00B67A02">
        <w:trPr>
          <w:jc w:val="center"/>
        </w:trPr>
        <w:tc>
          <w:tcPr>
            <w:tcW w:w="8820" w:type="dxa"/>
          </w:tcPr>
          <w:p w:rsidR="00DD3AB2" w:rsidRPr="00887C0F" w:rsidRDefault="00DD3AB2" w:rsidP="00B67A02">
            <w:pPr>
              <w:bidi w:val="0"/>
              <w:jc w:val="center"/>
              <w:rPr>
                <w:rFonts w:ascii="Arial" w:hAnsi="Arial"/>
                <w:b/>
                <w:bCs/>
                <w:i/>
                <w:iCs/>
                <w:noProof w:val="0"/>
                <w:sz w:val="36"/>
                <w:szCs w:val="36"/>
              </w:rPr>
            </w:pPr>
          </w:p>
          <w:p w:rsidR="00DD3AB2" w:rsidRPr="00887C0F" w:rsidRDefault="00DD3AB2" w:rsidP="00B67A02">
            <w:pPr>
              <w:bidi w:val="0"/>
              <w:jc w:val="center"/>
              <w:rPr>
                <w:rFonts w:ascii="Arial" w:hAnsi="Arial"/>
                <w:b/>
                <w:bCs/>
                <w:i/>
                <w:iCs/>
                <w:noProof w:val="0"/>
                <w:sz w:val="36"/>
                <w:szCs w:val="36"/>
                <w:u w:val="single"/>
              </w:rPr>
            </w:pPr>
            <w:r w:rsidRPr="00887C0F">
              <w:rPr>
                <w:rFonts w:ascii="Arial" w:hAnsi="Arial" w:hint="cs"/>
                <w:b/>
                <w:bCs/>
                <w:i/>
                <w:iCs/>
                <w:noProof w:val="0"/>
                <w:sz w:val="36"/>
                <w:szCs w:val="36"/>
                <w:u w:val="single"/>
                <w:rtl/>
              </w:rPr>
              <w:t>החלטה</w:t>
            </w:r>
          </w:p>
        </w:tc>
      </w:tr>
    </w:tbl>
    <w:p w:rsidR="00DD3AB2" w:rsidRDefault="00DD3AB2" w:rsidP="00DD3AB2">
      <w:pPr>
        <w:spacing w:line="360" w:lineRule="auto"/>
        <w:jc w:val="both"/>
        <w:rPr>
          <w:rFonts w:ascii="Arial" w:hAnsi="Arial"/>
          <w:noProof w:val="0"/>
          <w:rtl/>
        </w:rPr>
      </w:pPr>
    </w:p>
    <w:p w:rsidR="00DD3AB2" w:rsidRDefault="00DD3AB2" w:rsidP="00DD3AB2">
      <w:pPr>
        <w:spacing w:line="360" w:lineRule="auto"/>
        <w:jc w:val="both"/>
        <w:rPr>
          <w:rFonts w:ascii="David" w:hAnsi="David"/>
          <w:noProof w:val="0"/>
        </w:rPr>
      </w:pPr>
      <w:r>
        <w:rPr>
          <w:rFonts w:ascii="David" w:hAnsi="David"/>
          <w:rtl/>
        </w:rPr>
        <w:t xml:space="preserve">לפניי ערעור על החלטת כבוד רשם ההוצאה לפועל </w:t>
      </w:r>
      <w:r>
        <w:rPr>
          <w:rFonts w:ascii="David" w:hAnsi="David" w:hint="cs"/>
          <w:rtl/>
        </w:rPr>
        <w:t>***</w:t>
      </w:r>
      <w:r>
        <w:rPr>
          <w:rFonts w:ascii="David" w:hAnsi="David"/>
          <w:rtl/>
        </w:rPr>
        <w:t xml:space="preserve"> (להלן: "</w:t>
      </w:r>
      <w:r>
        <w:rPr>
          <w:rFonts w:ascii="David" w:hAnsi="David"/>
          <w:b/>
          <w:bCs/>
          <w:rtl/>
        </w:rPr>
        <w:t>כבוד הרשם</w:t>
      </w:r>
      <w:r>
        <w:rPr>
          <w:rFonts w:ascii="David" w:hAnsi="David"/>
          <w:rtl/>
        </w:rPr>
        <w:t>").</w:t>
      </w:r>
    </w:p>
    <w:p w:rsidR="00DD3AB2" w:rsidRDefault="00DD3AB2" w:rsidP="00DD3AB2">
      <w:pPr>
        <w:spacing w:line="360" w:lineRule="auto"/>
        <w:jc w:val="both"/>
        <w:rPr>
          <w:rFonts w:ascii="David" w:hAnsi="David"/>
          <w:rtl/>
        </w:rPr>
      </w:pPr>
    </w:p>
    <w:p w:rsidR="00DD3AB2" w:rsidRDefault="00DD3AB2" w:rsidP="00DD3AB2">
      <w:pPr>
        <w:spacing w:line="360" w:lineRule="auto"/>
        <w:jc w:val="both"/>
        <w:rPr>
          <w:rFonts w:ascii="David" w:hAnsi="David"/>
          <w:rtl/>
        </w:rPr>
      </w:pPr>
      <w:r>
        <w:rPr>
          <w:rFonts w:ascii="David" w:hAnsi="David"/>
          <w:rtl/>
        </w:rPr>
        <w:t xml:space="preserve">הערעור נסוב על שתי החלטות שניתנו על-ידי כבוד הרשם בתיק הוצאה לפועל מס' </w:t>
      </w:r>
      <w:r>
        <w:rPr>
          <w:rFonts w:ascii="David" w:hAnsi="David" w:hint="cs"/>
          <w:rtl/>
        </w:rPr>
        <w:t>***</w:t>
      </w:r>
      <w:r>
        <w:rPr>
          <w:rFonts w:ascii="David" w:hAnsi="David"/>
          <w:rtl/>
        </w:rPr>
        <w:t xml:space="preserve"> העוסקות באופן חלוקת כספים שהתקבלו ממכירת דירת המגורים המשותפת של הצדדים, ואשר לטענת המערער סותרות זו את זו.  </w:t>
      </w:r>
    </w:p>
    <w:p w:rsidR="00DD3AB2" w:rsidRDefault="00DD3AB2" w:rsidP="00DD3AB2">
      <w:pPr>
        <w:spacing w:line="360" w:lineRule="auto"/>
        <w:jc w:val="both"/>
        <w:rPr>
          <w:rFonts w:ascii="David" w:hAnsi="David"/>
          <w:rtl/>
        </w:rPr>
      </w:pPr>
    </w:p>
    <w:p w:rsidR="00DD3AB2" w:rsidRDefault="00DD3AB2" w:rsidP="00DD3AB2">
      <w:pPr>
        <w:spacing w:line="360" w:lineRule="auto"/>
        <w:jc w:val="both"/>
        <w:rPr>
          <w:rFonts w:ascii="David" w:hAnsi="David"/>
          <w:rtl/>
        </w:rPr>
      </w:pPr>
      <w:r>
        <w:rPr>
          <w:rFonts w:ascii="David" w:hAnsi="David"/>
          <w:rtl/>
        </w:rPr>
        <w:t>לאחר עיון בכתב הערעור, מצאתי מקום להורות למערער לתקן את כתב הערעור כדלהלן:</w:t>
      </w:r>
    </w:p>
    <w:p w:rsidR="00DD3AB2" w:rsidRDefault="00DD3AB2" w:rsidP="00DD3AB2">
      <w:pPr>
        <w:spacing w:line="360" w:lineRule="auto"/>
        <w:jc w:val="both"/>
        <w:rPr>
          <w:rFonts w:ascii="David" w:hAnsi="David"/>
          <w:rtl/>
        </w:rPr>
      </w:pPr>
    </w:p>
    <w:p w:rsidR="00DD3AB2" w:rsidRDefault="00DD3AB2" w:rsidP="00DD3AB2">
      <w:pPr>
        <w:spacing w:line="360" w:lineRule="auto"/>
        <w:jc w:val="both"/>
        <w:rPr>
          <w:rFonts w:ascii="David" w:hAnsi="David"/>
          <w:rtl/>
        </w:rPr>
      </w:pPr>
      <w:r>
        <w:rPr>
          <w:rFonts w:ascii="David" w:hAnsi="David"/>
          <w:u w:val="single"/>
          <w:rtl/>
        </w:rPr>
        <w:t>ראשית</w:t>
      </w:r>
      <w:r>
        <w:rPr>
          <w:rFonts w:ascii="David" w:hAnsi="David"/>
          <w:rtl/>
        </w:rPr>
        <w:t>, רשם ההוצאה לפועל הינו גורם שיפוטי ומשכך, יש לכנותו "כבוד הרשם" ולא "הרשם".</w:t>
      </w:r>
    </w:p>
    <w:p w:rsidR="00DD3AB2" w:rsidRDefault="00DD3AB2" w:rsidP="00DD3AB2">
      <w:pPr>
        <w:spacing w:line="360" w:lineRule="auto"/>
        <w:jc w:val="both"/>
        <w:rPr>
          <w:rFonts w:ascii="David" w:hAnsi="David"/>
          <w:rtl/>
        </w:rPr>
      </w:pPr>
    </w:p>
    <w:p w:rsidR="00DD3AB2" w:rsidRDefault="00DD3AB2" w:rsidP="00DD3AB2">
      <w:pPr>
        <w:spacing w:line="360" w:lineRule="auto"/>
        <w:jc w:val="both"/>
        <w:rPr>
          <w:rFonts w:ascii="David" w:hAnsi="David"/>
          <w:rtl/>
        </w:rPr>
      </w:pPr>
      <w:r>
        <w:rPr>
          <w:rFonts w:ascii="David" w:hAnsi="David"/>
          <w:u w:val="single"/>
          <w:rtl/>
        </w:rPr>
        <w:t>שנית</w:t>
      </w:r>
      <w:r>
        <w:rPr>
          <w:rFonts w:ascii="David" w:hAnsi="David"/>
          <w:rtl/>
        </w:rPr>
        <w:t xml:space="preserve">, תקנה 32 לתקנות סדר הדין האזרחי, התשע"ט–2018 קובעת כי כתב טענות ינוסח באופן שאינו מבזה, מביש או משתלח. אמירות כגון: "בהחלטה מלאת סתירות החליט הרשם כי הוא מאשר המכר אך באמצעות כונס" </w:t>
      </w:r>
      <w:r>
        <w:rPr>
          <w:rFonts w:ascii="David" w:hAnsi="David"/>
          <w:b/>
          <w:bCs/>
          <w:rtl/>
        </w:rPr>
        <w:t>ראו:</w:t>
      </w:r>
      <w:r>
        <w:rPr>
          <w:rFonts w:ascii="David" w:hAnsi="David"/>
          <w:rtl/>
        </w:rPr>
        <w:t xml:space="preserve"> </w:t>
      </w:r>
      <w:r>
        <w:rPr>
          <w:rFonts w:ascii="David" w:hAnsi="David"/>
          <w:b/>
          <w:bCs/>
          <w:rtl/>
        </w:rPr>
        <w:t>ס' 10 לכתב הערעור</w:t>
      </w:r>
      <w:r>
        <w:rPr>
          <w:rFonts w:ascii="David" w:hAnsi="David"/>
          <w:rtl/>
        </w:rPr>
        <w:t xml:space="preserve">; "הרקע לבקשה הוא מתן שורת החלטות סותרות ע"י הרשם (כהרגלו)" </w:t>
      </w:r>
      <w:r>
        <w:rPr>
          <w:rFonts w:ascii="David" w:hAnsi="David"/>
          <w:b/>
          <w:bCs/>
          <w:rtl/>
        </w:rPr>
        <w:t>ראו: מבוא לבקשה לעיכוב ביצוע</w:t>
      </w:r>
      <w:r>
        <w:rPr>
          <w:rFonts w:ascii="David" w:hAnsi="David" w:hint="cs"/>
          <w:rtl/>
        </w:rPr>
        <w:t>,</w:t>
      </w:r>
      <w:r>
        <w:rPr>
          <w:rFonts w:ascii="David" w:hAnsi="David"/>
          <w:rtl/>
        </w:rPr>
        <w:t xml:space="preserve"> אשר הוגשה בד בבד עם כתב הערעור; "מאז ועד היום משך שנה שלמה, פועלים ללא הרף הן הכונס והן הרשם כדי לעכב את סיום התיק" </w:t>
      </w:r>
      <w:r>
        <w:rPr>
          <w:rFonts w:ascii="David" w:hAnsi="David"/>
          <w:b/>
          <w:bCs/>
          <w:rtl/>
        </w:rPr>
        <w:t>ראו:</w:t>
      </w:r>
      <w:r>
        <w:rPr>
          <w:rFonts w:ascii="David" w:hAnsi="David"/>
          <w:rtl/>
        </w:rPr>
        <w:t xml:space="preserve"> </w:t>
      </w:r>
      <w:r>
        <w:rPr>
          <w:rFonts w:ascii="David" w:hAnsi="David"/>
          <w:b/>
          <w:bCs/>
          <w:rtl/>
        </w:rPr>
        <w:t>ס' 13 לכתב הערעור</w:t>
      </w:r>
      <w:r>
        <w:rPr>
          <w:rFonts w:ascii="David" w:hAnsi="David"/>
          <w:rtl/>
        </w:rPr>
        <w:t xml:space="preserve">; "...ברור כי הרשם אינו שולט בתיק מוגש הערעור" </w:t>
      </w:r>
      <w:r>
        <w:rPr>
          <w:rFonts w:ascii="David" w:hAnsi="David"/>
          <w:b/>
          <w:bCs/>
          <w:rtl/>
        </w:rPr>
        <w:t>ראו:</w:t>
      </w:r>
      <w:r>
        <w:rPr>
          <w:rFonts w:ascii="David" w:hAnsi="David"/>
          <w:rtl/>
        </w:rPr>
        <w:t xml:space="preserve"> </w:t>
      </w:r>
      <w:r>
        <w:rPr>
          <w:rFonts w:ascii="David" w:hAnsi="David"/>
          <w:b/>
          <w:bCs/>
          <w:rtl/>
        </w:rPr>
        <w:t>ס' 22 לכתב הערעור</w:t>
      </w:r>
      <w:r>
        <w:rPr>
          <w:rFonts w:ascii="David" w:hAnsi="David"/>
          <w:rtl/>
        </w:rPr>
        <w:t xml:space="preserve"> – הן אמירות משתלחות, אשר ראויות לחיוב המערער בהוצאות משפט </w:t>
      </w:r>
      <w:r>
        <w:rPr>
          <w:rFonts w:ascii="David" w:hAnsi="David"/>
          <w:b/>
          <w:bCs/>
          <w:rtl/>
        </w:rPr>
        <w:t>ראו</w:t>
      </w:r>
      <w:r>
        <w:rPr>
          <w:rFonts w:ascii="David" w:hAnsi="David"/>
          <w:rtl/>
        </w:rPr>
        <w:t xml:space="preserve">: עמ"ש (ת"א) 16608-11-14 </w:t>
      </w:r>
      <w:r>
        <w:rPr>
          <w:rFonts w:ascii="David" w:hAnsi="David"/>
          <w:b/>
          <w:bCs/>
          <w:rtl/>
        </w:rPr>
        <w:t>י' י' ע' נ' מ' ט'</w:t>
      </w:r>
      <w:r>
        <w:rPr>
          <w:rFonts w:ascii="David" w:hAnsi="David"/>
          <w:rtl/>
        </w:rPr>
        <w:t xml:space="preserve"> (3.3.2016); ת"א 7899-02-21 </w:t>
      </w:r>
      <w:r>
        <w:rPr>
          <w:rFonts w:ascii="David" w:hAnsi="David"/>
          <w:b/>
          <w:bCs/>
          <w:rtl/>
        </w:rPr>
        <w:t xml:space="preserve">בספלוב נ' אפריאט </w:t>
      </w:r>
      <w:r>
        <w:rPr>
          <w:rFonts w:ascii="David" w:hAnsi="David"/>
          <w:rtl/>
        </w:rPr>
        <w:t>(16.4.2023) ויש למחוק אמירות אלה מכתב הערעור.</w:t>
      </w:r>
    </w:p>
    <w:p w:rsidR="00DD3AB2" w:rsidRDefault="00DD3AB2" w:rsidP="00DD3AB2">
      <w:pPr>
        <w:spacing w:line="360" w:lineRule="auto"/>
        <w:jc w:val="both"/>
        <w:rPr>
          <w:rFonts w:ascii="David" w:hAnsi="David"/>
          <w:rtl/>
        </w:rPr>
      </w:pPr>
    </w:p>
    <w:p w:rsidR="00DD3AB2" w:rsidRDefault="00DD3AB2" w:rsidP="00DD3AB2">
      <w:pPr>
        <w:spacing w:line="360" w:lineRule="auto"/>
        <w:jc w:val="both"/>
        <w:rPr>
          <w:rFonts w:ascii="David" w:hAnsi="David"/>
          <w:rtl/>
        </w:rPr>
      </w:pPr>
    </w:p>
    <w:p w:rsidR="00DD3AB2" w:rsidRDefault="00DD3AB2" w:rsidP="00DD3AB2">
      <w:pPr>
        <w:spacing w:line="360" w:lineRule="auto"/>
        <w:jc w:val="both"/>
        <w:rPr>
          <w:rFonts w:ascii="David" w:hAnsi="David"/>
          <w:rtl/>
        </w:rPr>
      </w:pPr>
      <w:r>
        <w:rPr>
          <w:rFonts w:ascii="David" w:hAnsi="David"/>
          <w:rtl/>
        </w:rPr>
        <w:lastRenderedPageBreak/>
        <w:t>נפסק בעניין זה כי "</w:t>
      </w:r>
      <w:r>
        <w:rPr>
          <w:rFonts w:ascii="David" w:hAnsi="David"/>
          <w:i/>
          <w:iCs/>
          <w:rtl/>
        </w:rPr>
        <w:t>בית המשפט לא יאפשר לבעלי הדין להתבטא לפניו, בכתב או בעל-פה, בלשון משתלחת, ובאופן פוגעני, משפיל או מעליב. ניתן להתבטא בדרך מכבדת, גם כאשר עסקינן בטענות חמורות, הנוגעות להתנהלות לא ראויה מצד אדם או גוף כלשהו. דברים אלו נכונים כלפי כל אדם, ונכונים מקל וחומר למקרה שבו ההתבטאויות הבוטות והקשות מופנות כלפי שופט היושב בדין"</w:t>
      </w:r>
      <w:r>
        <w:rPr>
          <w:rFonts w:ascii="David" w:hAnsi="David"/>
          <w:rtl/>
        </w:rPr>
        <w:t xml:space="preserve"> </w:t>
      </w:r>
      <w:r>
        <w:rPr>
          <w:rFonts w:ascii="David" w:hAnsi="David"/>
          <w:b/>
          <w:bCs/>
          <w:rtl/>
        </w:rPr>
        <w:t>ראו</w:t>
      </w:r>
      <w:r>
        <w:rPr>
          <w:rFonts w:ascii="David" w:hAnsi="David"/>
          <w:rtl/>
        </w:rPr>
        <w:t>:</w:t>
      </w:r>
      <w:r>
        <w:rPr>
          <w:rFonts w:ascii="David" w:hAnsi="David"/>
        </w:rPr>
        <w:t xml:space="preserve"> </w:t>
      </w:r>
      <w:r>
        <w:rPr>
          <w:rFonts w:ascii="David" w:hAnsi="David"/>
          <w:rtl/>
        </w:rPr>
        <w:t xml:space="preserve">בג"ץ 1430/21 </w:t>
      </w:r>
      <w:r>
        <w:rPr>
          <w:rFonts w:ascii="David" w:hAnsi="David"/>
          <w:b/>
          <w:bCs/>
          <w:rtl/>
        </w:rPr>
        <w:t>הוכהאוזר נ' מיכאל תמיר, שופט בית המשפט המחוזי מרכז</w:t>
      </w:r>
      <w:r>
        <w:rPr>
          <w:rFonts w:ascii="David" w:hAnsi="David"/>
          <w:rtl/>
        </w:rPr>
        <w:t xml:space="preserve"> (11.4.2021); רע"א  4975/21 </w:t>
      </w:r>
      <w:r>
        <w:rPr>
          <w:rFonts w:ascii="David" w:hAnsi="David"/>
          <w:b/>
          <w:bCs/>
          <w:rtl/>
        </w:rPr>
        <w:t>אתרי דור נ' מי לוד - תאגיד המים והביוב של לוד</w:t>
      </w:r>
      <w:r>
        <w:rPr>
          <w:rFonts w:ascii="David" w:hAnsi="David"/>
          <w:rtl/>
        </w:rPr>
        <w:t xml:space="preserve"> (8.8.2021).</w:t>
      </w:r>
    </w:p>
    <w:p w:rsidR="00DD3AB2" w:rsidRDefault="00DD3AB2" w:rsidP="00DD3AB2">
      <w:pPr>
        <w:spacing w:line="360" w:lineRule="auto"/>
        <w:jc w:val="both"/>
        <w:rPr>
          <w:rFonts w:ascii="David" w:hAnsi="David"/>
          <w:rtl/>
        </w:rPr>
      </w:pPr>
    </w:p>
    <w:p w:rsidR="00DD3AB2" w:rsidRDefault="00DD3AB2" w:rsidP="00DD3AB2">
      <w:pPr>
        <w:spacing w:line="360" w:lineRule="auto"/>
        <w:jc w:val="both"/>
        <w:rPr>
          <w:rFonts w:ascii="David" w:hAnsi="David"/>
          <w:rtl/>
        </w:rPr>
      </w:pPr>
      <w:r>
        <w:rPr>
          <w:rFonts w:ascii="David" w:hAnsi="David"/>
          <w:u w:val="single"/>
          <w:rtl/>
        </w:rPr>
        <w:t>שלישית</w:t>
      </w:r>
      <w:r>
        <w:rPr>
          <w:rFonts w:ascii="David" w:hAnsi="David"/>
          <w:rtl/>
        </w:rPr>
        <w:t xml:space="preserve">, חלק מעובדות כתב הערעור אינן רלוונטיות, לכאורה, להכרעה בו </w:t>
      </w:r>
      <w:r>
        <w:rPr>
          <w:rFonts w:ascii="David" w:hAnsi="David"/>
          <w:b/>
          <w:bCs/>
          <w:rtl/>
        </w:rPr>
        <w:t xml:space="preserve">ראו למשל: ס' 7 לכתב הערעור </w:t>
      </w:r>
      <w:r>
        <w:rPr>
          <w:rFonts w:ascii="David" w:hAnsi="David"/>
          <w:rtl/>
        </w:rPr>
        <w:t>העוסק בסחיטת המערער, לכאורה, על</w:t>
      </w:r>
      <w:r>
        <w:rPr>
          <w:rFonts w:ascii="David" w:hAnsi="David" w:hint="cs"/>
          <w:rtl/>
        </w:rPr>
        <w:t>-</w:t>
      </w:r>
      <w:r>
        <w:rPr>
          <w:rFonts w:ascii="David" w:hAnsi="David"/>
          <w:rtl/>
        </w:rPr>
        <w:t>ידי המשיבה ו"זאת באמצעות עו"ד שהורשע בפלילים הן בהריגה בקלות דעת והן בתקיפת בנו וגרושתו;</w:t>
      </w:r>
      <w:r>
        <w:rPr>
          <w:rFonts w:ascii="David" w:hAnsi="David"/>
          <w:b/>
          <w:bCs/>
          <w:rtl/>
        </w:rPr>
        <w:t xml:space="preserve"> ס' 23 ו-27 לכתב הערעור </w:t>
      </w:r>
      <w:r>
        <w:rPr>
          <w:rFonts w:ascii="David" w:hAnsi="David"/>
          <w:rtl/>
        </w:rPr>
        <w:t xml:space="preserve">העוסק בהרחקת הילדים מהמערער; </w:t>
      </w:r>
      <w:r>
        <w:rPr>
          <w:rFonts w:ascii="David" w:hAnsi="David"/>
          <w:b/>
          <w:bCs/>
          <w:rtl/>
        </w:rPr>
        <w:t xml:space="preserve">ס' 24 לכתב הערעור </w:t>
      </w:r>
      <w:r>
        <w:rPr>
          <w:rFonts w:ascii="David" w:hAnsi="David"/>
          <w:rtl/>
        </w:rPr>
        <w:t>העוסק בחיוב המערער במזונות וכו' ויש למחוק מכתב הערעור כל עובדה שאיננה רלוונטית להכרעה בו.</w:t>
      </w:r>
    </w:p>
    <w:p w:rsidR="00DD3AB2" w:rsidRDefault="00DD3AB2" w:rsidP="00DD3AB2">
      <w:pPr>
        <w:spacing w:line="360" w:lineRule="auto"/>
        <w:jc w:val="both"/>
        <w:rPr>
          <w:rFonts w:ascii="David" w:hAnsi="David"/>
          <w:rtl/>
        </w:rPr>
      </w:pPr>
    </w:p>
    <w:p w:rsidR="00DD3AB2" w:rsidRDefault="00DD3AB2" w:rsidP="00DD3AB2">
      <w:pPr>
        <w:spacing w:line="360" w:lineRule="auto"/>
        <w:jc w:val="both"/>
        <w:rPr>
          <w:rFonts w:ascii="David" w:hAnsi="David"/>
          <w:rtl/>
        </w:rPr>
      </w:pPr>
      <w:r>
        <w:rPr>
          <w:rFonts w:ascii="David" w:hAnsi="David"/>
          <w:rtl/>
        </w:rPr>
        <w:t>נפסק בעניין זה כי: "</w:t>
      </w:r>
      <w:r>
        <w:rPr>
          <w:rFonts w:ascii="David" w:hAnsi="David"/>
          <w:i/>
          <w:iCs/>
          <w:rtl/>
        </w:rPr>
        <w:t>כידוע, תפקידם של כתבי הטענות הוא לשמש מסגרת הגודרת את חזית המחלוקת בין הצדדים, וזאת בין היתר על מנת לקדם עקרונות של יעילות הדיון... הדברים נכונים ביתר שאת לגבי התובע, אשר יוזם את ההליך וקובע את בסיס המחלוקת</w:t>
      </w:r>
      <w:r>
        <w:rPr>
          <w:rFonts w:ascii="David" w:hAnsi="David"/>
          <w:rtl/>
        </w:rPr>
        <w:t xml:space="preserve">" </w:t>
      </w:r>
      <w:r>
        <w:rPr>
          <w:rFonts w:ascii="David" w:hAnsi="David"/>
          <w:b/>
          <w:bCs/>
          <w:rtl/>
        </w:rPr>
        <w:t>ראו</w:t>
      </w:r>
      <w:r>
        <w:rPr>
          <w:rFonts w:ascii="David" w:hAnsi="David"/>
          <w:rtl/>
        </w:rPr>
        <w:t xml:space="preserve">: ע"א  8023/16 </w:t>
      </w:r>
      <w:r>
        <w:rPr>
          <w:rFonts w:ascii="David" w:hAnsi="David"/>
          <w:b/>
          <w:bCs/>
          <w:rtl/>
        </w:rPr>
        <w:t xml:space="preserve">לילך נוזית ארביב אור נ' חנה מרגרט פנטופט ג'נאח </w:t>
      </w:r>
      <w:r>
        <w:rPr>
          <w:rFonts w:ascii="David" w:hAnsi="David"/>
          <w:rtl/>
        </w:rPr>
        <w:t>(20.8.2019).</w:t>
      </w:r>
    </w:p>
    <w:p w:rsidR="00DD3AB2" w:rsidRDefault="00DD3AB2" w:rsidP="00DD3AB2">
      <w:pPr>
        <w:spacing w:line="360" w:lineRule="auto"/>
        <w:jc w:val="both"/>
        <w:rPr>
          <w:rFonts w:ascii="David" w:hAnsi="David"/>
          <w:rtl/>
        </w:rPr>
      </w:pPr>
    </w:p>
    <w:p w:rsidR="00DD3AB2" w:rsidRDefault="00DD3AB2" w:rsidP="00DD3AB2">
      <w:pPr>
        <w:spacing w:line="360" w:lineRule="auto"/>
        <w:jc w:val="both"/>
        <w:rPr>
          <w:rFonts w:ascii="David" w:hAnsi="David"/>
          <w:rtl/>
        </w:rPr>
      </w:pPr>
      <w:r>
        <w:rPr>
          <w:rFonts w:ascii="David" w:hAnsi="David"/>
          <w:rtl/>
        </w:rPr>
        <w:t>כתב ערעור מתוקן יוגש בתוך 10 ימים (ימי החירום יבואו במניין הימים) שאם לא כן, ימחק הערעור ללא החלטה נוספת.</w:t>
      </w:r>
    </w:p>
    <w:p w:rsidR="00DD3AB2" w:rsidRDefault="00DD3AB2" w:rsidP="00DD3AB2">
      <w:pPr>
        <w:spacing w:line="360" w:lineRule="auto"/>
        <w:jc w:val="both"/>
        <w:rPr>
          <w:rFonts w:ascii="David" w:hAnsi="David"/>
          <w:rtl/>
        </w:rPr>
      </w:pPr>
    </w:p>
    <w:p w:rsidR="00DD3AB2" w:rsidRDefault="00DD3AB2" w:rsidP="00DD3AB2">
      <w:pPr>
        <w:spacing w:line="360" w:lineRule="auto"/>
        <w:jc w:val="both"/>
        <w:rPr>
          <w:rFonts w:ascii="David" w:hAnsi="David"/>
          <w:rtl/>
        </w:rPr>
      </w:pPr>
      <w:r>
        <w:rPr>
          <w:rFonts w:ascii="David" w:hAnsi="David"/>
          <w:b/>
          <w:bCs/>
          <w:rtl/>
        </w:rPr>
        <w:t>ת.פ. מזכירות</w:t>
      </w:r>
      <w:r>
        <w:rPr>
          <w:rFonts w:ascii="David" w:hAnsi="David"/>
          <w:rtl/>
        </w:rPr>
        <w:t>.</w:t>
      </w:r>
    </w:p>
    <w:p w:rsidR="00DD3AB2" w:rsidRDefault="00DD3AB2" w:rsidP="00DD3AB2">
      <w:pPr>
        <w:spacing w:line="360" w:lineRule="auto"/>
        <w:jc w:val="both"/>
        <w:rPr>
          <w:rFonts w:ascii="David" w:hAnsi="David"/>
          <w:rtl/>
        </w:rPr>
      </w:pPr>
    </w:p>
    <w:p w:rsidR="00DD3AB2" w:rsidRPr="00DD3AB2" w:rsidRDefault="00DD3AB2" w:rsidP="00DD3AB2">
      <w:pPr>
        <w:spacing w:line="360" w:lineRule="auto"/>
        <w:jc w:val="both"/>
        <w:rPr>
          <w:rFonts w:ascii="David" w:hAnsi="David"/>
          <w:rtl/>
        </w:rPr>
      </w:pPr>
      <w:r>
        <w:rPr>
          <w:rFonts w:ascii="David" w:hAnsi="David" w:hint="cs"/>
          <w:rtl/>
        </w:rPr>
        <w:t>אני מתיר את פרסום ההחלטה לאחר השמטת פרטים מזהים.</w:t>
      </w:r>
    </w:p>
    <w:p w:rsidR="00DD3AB2" w:rsidRDefault="00DD3AB2" w:rsidP="00DD3AB2">
      <w:pPr>
        <w:spacing w:line="360" w:lineRule="auto"/>
        <w:jc w:val="both"/>
        <w:rPr>
          <w:rFonts w:ascii="Arial" w:hAnsi="Arial"/>
          <w:noProof w:val="0"/>
          <w:rtl/>
        </w:rPr>
      </w:pPr>
    </w:p>
    <w:p w:rsidR="00DD3AB2" w:rsidRDefault="00DD3AB2" w:rsidP="00DD3AB2">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י"ח חשוון תשפ"ד</w:t>
          </w:r>
        </w:sdtContent>
      </w:sdt>
      <w:r>
        <w:rPr>
          <w:rFonts w:ascii="Arial" w:hAnsi="Arial"/>
          <w:noProof w:val="0"/>
          <w:rtl/>
        </w:rPr>
        <w:t xml:space="preserve">, </w:t>
      </w:r>
      <w:sdt>
        <w:sdtPr>
          <w:rPr>
            <w:rtl/>
          </w:rPr>
          <w:alias w:val="1456"/>
          <w:tag w:val="1456"/>
          <w:id w:val="1987278298"/>
          <w:text w:multiLine="1"/>
        </w:sdtPr>
        <w:sdtEndPr/>
        <w:sdtContent>
          <w:r>
            <w:rPr>
              <w:rFonts w:ascii="Arial" w:hAnsi="Arial"/>
              <w:noProof w:val="0"/>
              <w:rtl/>
            </w:rPr>
            <w:t>02 נובמבר 2023</w:t>
          </w:r>
        </w:sdtContent>
      </w:sdt>
      <w:r>
        <w:rPr>
          <w:rFonts w:ascii="Arial" w:hAnsi="Arial"/>
          <w:noProof w:val="0"/>
          <w:rtl/>
        </w:rPr>
        <w:t>, בהעדר הצדדים.</w:t>
      </w:r>
    </w:p>
    <w:p w:rsidR="00DD3AB2" w:rsidRDefault="00DD3AB2" w:rsidP="00DD3AB2">
      <w:pPr>
        <w:spacing w:line="360" w:lineRule="auto"/>
        <w:jc w:val="center"/>
        <w:rPr>
          <w:rFonts w:ascii="Arial" w:hAnsi="Arial"/>
          <w:noProof w:val="0"/>
          <w:rtl/>
        </w:rPr>
      </w:pPr>
    </w:p>
    <w:p w:rsidR="00DD3AB2" w:rsidRDefault="00DD3AB2" w:rsidP="00DD3AB2">
      <w:pPr>
        <w:spacing w:line="360" w:lineRule="auto"/>
        <w:jc w:val="center"/>
      </w:pPr>
      <w:r>
        <w:rPr>
          <w:rFonts w:ascii="Arial" w:hAnsi="Arial"/>
          <w:noProof w:val="0"/>
          <w:rtl/>
        </w:rPr>
        <w:tab/>
      </w:r>
      <w:r>
        <w:rPr>
          <w:rFonts w:ascii="Arial" w:hAnsi="Arial"/>
          <w:noProof w:val="0"/>
          <w:rtl/>
        </w:rPr>
        <w:tab/>
      </w:r>
      <w:sdt>
        <w:sdtPr>
          <w:rPr>
            <w:rtl/>
          </w:rPr>
          <w:alias w:val="MergeField"/>
          <w:tag w:val="1237"/>
          <w:id w:val="673306688"/>
        </w:sdtPr>
        <w:sdtEndPr/>
        <w:sdtContent>
          <w:r>
            <w:drawing>
              <wp:inline distT="0" distB="0" distL="0" distR="0" wp14:anchorId="78C3FB10" wp14:editId="11838548">
                <wp:extent cx="1828800" cy="733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6" cstate="print">
                          <a:extLst/>
                        </a:blip>
                        <a:stretch>
                          <a:fillRect/>
                        </a:stretch>
                      </pic:blipFill>
                      <pic:spPr>
                        <a:xfrm>
                          <a:off x="0" y="0"/>
                          <a:ext cx="1828800" cy="733425"/>
                        </a:xfrm>
                        <a:prstGeom prst="rect">
                          <a:avLst/>
                        </a:prstGeom>
                      </pic:spPr>
                    </pic:pic>
                  </a:graphicData>
                </a:graphic>
              </wp:inline>
            </w:drawing>
          </w:r>
        </w:sdtContent>
      </w:sdt>
    </w:p>
    <w:p w:rsidR="00DD3AB2" w:rsidRDefault="00DD3AB2" w:rsidP="00DD3AB2">
      <w:pPr>
        <w:spacing w:line="360" w:lineRule="auto"/>
        <w:jc w:val="center"/>
        <w:rPr>
          <w:rFonts w:ascii="Arial" w:hAnsi="Arial"/>
          <w:noProof w:val="0"/>
          <w:rtl/>
        </w:rPr>
      </w:pPr>
    </w:p>
    <w:p w:rsidR="00666BB0" w:rsidRDefault="00666BB0"/>
    <w:sectPr w:rsidR="00666BB0" w:rsidSect="00887C0F">
      <w:headerReference w:type="default" r:id="rId7"/>
      <w:footerReference w:type="default" r:id="rId8"/>
      <w:pgSz w:w="11907" w:h="16840" w:code="9"/>
      <w:pgMar w:top="1701" w:right="1701" w:bottom="170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554E" w:rsidRDefault="007D554E" w:rsidP="00DD3AB2">
      <w:r>
        <w:separator/>
      </w:r>
    </w:p>
  </w:endnote>
  <w:endnote w:type="continuationSeparator" w:id="0">
    <w:p w:rsidR="007D554E" w:rsidRDefault="007D554E" w:rsidP="00DD3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DD3AB2">
    <w:pPr>
      <w:pStyle w:val="a5"/>
      <w:jc w:val="center"/>
      <w:rPr>
        <w:rStyle w:val="a8"/>
      </w:rPr>
    </w:pPr>
    <w:r>
      <w:rPr>
        <w:rStyle w:val="a8"/>
      </w:rPr>
      <w:fldChar w:fldCharType="begin"/>
    </w:r>
    <w:r>
      <w:rPr>
        <w:rStyle w:val="a8"/>
      </w:rPr>
      <w:instrText xml:space="preserve"> PAGE </w:instrText>
    </w:r>
    <w:r>
      <w:rPr>
        <w:rStyle w:val="a8"/>
      </w:rPr>
      <w:fldChar w:fldCharType="separate"/>
    </w:r>
    <w:r w:rsidR="00377ABD">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377ABD">
      <w:rPr>
        <w:rStyle w:val="a8"/>
        <w:rtl/>
      </w:rPr>
      <w:t>2</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554E" w:rsidRDefault="007D554E" w:rsidP="00DD3AB2">
      <w:r>
        <w:separator/>
      </w:r>
    </w:p>
  </w:footnote>
  <w:footnote w:type="continuationSeparator" w:id="0">
    <w:p w:rsidR="007D554E" w:rsidRDefault="007D554E" w:rsidP="00DD3A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DD3AB2">
    <w:pPr>
      <w:pStyle w:val="a3"/>
      <w:jc w:val="center"/>
      <w:rPr>
        <w:rFonts w:cs="FrankRuehl"/>
        <w:noProof w:val="0"/>
        <w:sz w:val="28"/>
        <w:szCs w:val="28"/>
        <w:rtl/>
      </w:rPr>
    </w:pPr>
    <w:r>
      <w:rPr>
        <w:rFonts w:cs="FrankRuehl"/>
        <w:sz w:val="28"/>
        <w:szCs w:val="28"/>
      </w:rPr>
      <w:drawing>
        <wp:inline distT="0" distB="0" distL="0" distR="0" wp14:anchorId="0FBE10B5" wp14:editId="09939C4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0"/>
      <w:gridCol w:w="3595"/>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DD3AB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7D554E">
          <w:pPr>
            <w:rPr>
              <w:b/>
              <w:bCs/>
              <w:noProof w:val="0"/>
              <w:sz w:val="26"/>
              <w:szCs w:val="26"/>
              <w:rtl/>
            </w:rPr>
          </w:pPr>
        </w:p>
      </w:tc>
      <w:sdt>
        <w:sdtPr>
          <w:rPr>
            <w:rtl/>
          </w:rPr>
          <w:alias w:val="1456"/>
          <w:tag w:val="1456"/>
          <w:id w:val="-1143425472"/>
          <w:text/>
        </w:sdtPr>
        <w:sdtEndPr/>
        <w:sdtContent>
          <w:tc>
            <w:tcPr>
              <w:tcW w:w="3674" w:type="dxa"/>
            </w:tcPr>
            <w:p w:rsidR="002914D6" w:rsidRDefault="00DD3AB2">
              <w:pPr>
                <w:pStyle w:val="a3"/>
                <w:jc w:val="right"/>
                <w:rPr>
                  <w:b/>
                  <w:bCs/>
                  <w:noProof w:val="0"/>
                  <w:sz w:val="26"/>
                  <w:szCs w:val="26"/>
                  <w:rtl/>
                </w:rPr>
              </w:pPr>
              <w:r>
                <w:rPr>
                  <w:b/>
                  <w:bCs/>
                  <w:noProof w:val="0"/>
                  <w:sz w:val="26"/>
                  <w:szCs w:val="26"/>
                  <w:rtl/>
                </w:rPr>
                <w:t>02 נובמבר 2023</w:t>
              </w:r>
            </w:p>
          </w:tc>
        </w:sdtContent>
      </w:sdt>
    </w:tr>
    <w:tr w:rsidR="002914D6">
      <w:trPr>
        <w:trHeight w:val="337"/>
        <w:jc w:val="center"/>
      </w:trPr>
      <w:tc>
        <w:tcPr>
          <w:tcW w:w="8721" w:type="dxa"/>
          <w:gridSpan w:val="2"/>
        </w:tcPr>
        <w:p w:rsidR="002914D6" w:rsidRDefault="007D554E" w:rsidP="00DD3AB2">
          <w:pPr>
            <w:rPr>
              <w:b/>
              <w:bCs/>
              <w:noProof w:val="0"/>
              <w:sz w:val="26"/>
              <w:szCs w:val="26"/>
              <w:rtl/>
            </w:rPr>
          </w:pPr>
          <w:sdt>
            <w:sdtPr>
              <w:rPr>
                <w:rtl/>
              </w:rPr>
              <w:alias w:val="1170"/>
              <w:tag w:val="1170"/>
              <w:id w:val="632838173"/>
              <w:text w:multiLine="1"/>
            </w:sdtPr>
            <w:sdtEndPr/>
            <w:sdtContent>
              <w:r w:rsidR="00DD3AB2">
                <w:rPr>
                  <w:b/>
                  <w:bCs/>
                  <w:noProof w:val="0"/>
                  <w:sz w:val="26"/>
                  <w:szCs w:val="26"/>
                  <w:rtl/>
                </w:rPr>
                <w:t>ע"ר</w:t>
              </w:r>
            </w:sdtContent>
          </w:sdt>
          <w:r w:rsidR="00DD3AB2">
            <w:rPr>
              <w:b/>
              <w:bCs/>
              <w:noProof w:val="0"/>
              <w:sz w:val="26"/>
              <w:szCs w:val="26"/>
              <w:rtl/>
            </w:rPr>
            <w:t xml:space="preserve"> </w:t>
          </w:r>
          <w:sdt>
            <w:sdtPr>
              <w:rPr>
                <w:rtl/>
              </w:rPr>
              <w:alias w:val="1171"/>
              <w:tag w:val="1171"/>
              <w:id w:val="-1684506308"/>
              <w:text w:multiLine="1"/>
            </w:sdtPr>
            <w:sdtEndPr/>
            <w:sdtContent>
              <w:r w:rsidR="00DD3AB2">
                <w:rPr>
                  <w:b/>
                  <w:bCs/>
                  <w:noProof w:val="0"/>
                  <w:sz w:val="26"/>
                  <w:szCs w:val="26"/>
                  <w:rtl/>
                </w:rPr>
                <w:t>1104-11-23</w:t>
              </w:r>
            </w:sdtContent>
          </w:sdt>
          <w:r w:rsidR="00DD3AB2">
            <w:rPr>
              <w:b/>
              <w:bCs/>
              <w:noProof w:val="0"/>
              <w:sz w:val="26"/>
              <w:szCs w:val="26"/>
              <w:rtl/>
            </w:rPr>
            <w:t xml:space="preserve"> </w:t>
          </w:r>
          <w:sdt>
            <w:sdtPr>
              <w:rPr>
                <w:rtl/>
              </w:rPr>
              <w:alias w:val="1172"/>
              <w:tag w:val="1172"/>
              <w:id w:val="1484202908"/>
              <w:text w:multiLine="1"/>
            </w:sdtPr>
            <w:sdtEndPr/>
            <w:sdtContent>
              <w:r w:rsidR="00DD3AB2">
                <w:rPr>
                  <w:rFonts w:hint="cs"/>
                  <w:b/>
                  <w:bCs/>
                  <w:noProof w:val="0"/>
                  <w:sz w:val="26"/>
                  <w:szCs w:val="26"/>
                  <w:rtl/>
                </w:rPr>
                <w:t>ד.</w:t>
              </w:r>
              <w:r w:rsidR="00DD3AB2">
                <w:rPr>
                  <w:b/>
                  <w:bCs/>
                  <w:noProof w:val="0"/>
                  <w:sz w:val="26"/>
                  <w:szCs w:val="26"/>
                  <w:rtl/>
                </w:rPr>
                <w:t xml:space="preserve"> נ' </w:t>
              </w:r>
              <w:r w:rsidR="00DD3AB2">
                <w:rPr>
                  <w:rFonts w:hint="cs"/>
                  <w:b/>
                  <w:bCs/>
                  <w:noProof w:val="0"/>
                  <w:sz w:val="26"/>
                  <w:szCs w:val="26"/>
                  <w:rtl/>
                </w:rPr>
                <w:t>ד.</w:t>
              </w:r>
            </w:sdtContent>
          </w:sdt>
        </w:p>
        <w:p w:rsidR="002914D6" w:rsidRDefault="007D554E">
          <w:pPr>
            <w:rPr>
              <w:rtl/>
            </w:rPr>
          </w:pPr>
        </w:p>
        <w:p w:rsidR="005A01CB" w:rsidRDefault="007D554E">
          <w:pPr>
            <w:rPr>
              <w:rtl/>
            </w:rPr>
          </w:pPr>
        </w:p>
      </w:tc>
    </w:tr>
  </w:tbl>
  <w:p w:rsidR="002914D6" w:rsidRDefault="00DD3AB2">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AB2"/>
    <w:rsid w:val="00377ABD"/>
    <w:rsid w:val="00666BB0"/>
    <w:rsid w:val="007D554E"/>
    <w:rsid w:val="009F244E"/>
    <w:rsid w:val="00DD3AB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6845C89-A78F-41EC-8E18-13DB1EE1D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3AB2"/>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D3AB2"/>
    <w:pPr>
      <w:tabs>
        <w:tab w:val="center" w:pos="4153"/>
        <w:tab w:val="right" w:pos="8306"/>
      </w:tabs>
    </w:pPr>
  </w:style>
  <w:style w:type="character" w:customStyle="1" w:styleId="a4">
    <w:name w:val="כותרת עליונה תו"/>
    <w:basedOn w:val="a0"/>
    <w:link w:val="a3"/>
    <w:rsid w:val="00DD3AB2"/>
    <w:rPr>
      <w:rFonts w:ascii="Times New Roman" w:eastAsia="Times New Roman" w:hAnsi="Times New Roman" w:cs="David"/>
      <w:noProof/>
      <w:sz w:val="24"/>
      <w:szCs w:val="24"/>
    </w:rPr>
  </w:style>
  <w:style w:type="paragraph" w:styleId="a5">
    <w:name w:val="footer"/>
    <w:basedOn w:val="a"/>
    <w:link w:val="a6"/>
    <w:rsid w:val="00DD3AB2"/>
    <w:pPr>
      <w:tabs>
        <w:tab w:val="center" w:pos="4153"/>
        <w:tab w:val="right" w:pos="8306"/>
      </w:tabs>
    </w:pPr>
  </w:style>
  <w:style w:type="character" w:customStyle="1" w:styleId="a6">
    <w:name w:val="כותרת תחתונה תו"/>
    <w:basedOn w:val="a0"/>
    <w:link w:val="a5"/>
    <w:rsid w:val="00DD3AB2"/>
    <w:rPr>
      <w:rFonts w:ascii="Times New Roman" w:eastAsia="Times New Roman" w:hAnsi="Times New Roman" w:cs="David"/>
      <w:noProof/>
      <w:sz w:val="24"/>
      <w:szCs w:val="24"/>
    </w:rPr>
  </w:style>
  <w:style w:type="table" w:styleId="a7">
    <w:name w:val="Table Grid"/>
    <w:basedOn w:val="a1"/>
    <w:rsid w:val="00DD3AB2"/>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DD3AB2"/>
  </w:style>
  <w:style w:type="table" w:styleId="a9">
    <w:name w:val="Grid Table Light"/>
    <w:basedOn w:val="a1"/>
    <w:uiPriority w:val="40"/>
    <w:rsid w:val="00DD3AB2"/>
    <w:pPr>
      <w:spacing w:after="0" w:line="240" w:lineRule="auto"/>
    </w:pPr>
    <w:rPr>
      <w:rFonts w:ascii="Times New Roman" w:eastAsia="Times New Roman" w:hAnsi="Times New Roman" w:cs="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a">
    <w:name w:val="line number"/>
    <w:basedOn w:val="a0"/>
    <w:uiPriority w:val="99"/>
    <w:semiHidden/>
    <w:unhideWhenUsed/>
    <w:rsid w:val="00DD3A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436</Words>
  <Characters>2184</Characters>
  <Application>Microsoft Office Word</Application>
  <DocSecurity>0</DocSecurity>
  <Lines>18</Lines>
  <Paragraphs>5</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קרין סיידוף</dc:creator>
  <cp:keywords/>
  <dc:description/>
  <cp:lastModifiedBy>אסתר טטרואשילי</cp:lastModifiedBy>
  <cp:revision>2</cp:revision>
  <dcterms:created xsi:type="dcterms:W3CDTF">2023-11-14T12:15:00Z</dcterms:created>
  <dcterms:modified xsi:type="dcterms:W3CDTF">2023-11-14T12:15:00Z</dcterms:modified>
</cp:coreProperties>
</file>